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rFonts w:ascii="Times New Roman" w:hAnsi="Times New Roman"/>
          <w:sz w:val="28"/>
        </w:rPr>
      </w:pPr>
      <w:bookmarkStart w:id="1" w:name="_GoBack"/>
      <w:bookmarkEnd w:id="1"/>
    </w:p>
    <w:p w14:paraId="04000000">
      <w:pPr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ПАМЯТКА</w:t>
      </w:r>
    </w:p>
    <w:p w14:paraId="05000000">
      <w:pPr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ДЕЙСТВИЯХ РАБОТНИКОВ УЧРЕЖДЕНИЯ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 СЛУЧАЕ </w:t>
      </w:r>
      <w:r>
        <w:rPr>
          <w:rFonts w:ascii="Times New Roman" w:hAnsi="Times New Roman"/>
          <w:b w:val="1"/>
          <w:sz w:val="28"/>
        </w:rPr>
        <w:t>ОБРАЩЕНИЯ  КАКИХ – ЛИБО ЛИЦ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В ЦЕЛЯХ СКЛОНЕНИЯ  К СОВЕРШЕНИЮ КОРРУПЦИОННЫХ ПРАВОНАРУШЕНИЙ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pStyle w:val="Style_2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Нормативное регулирование</w:t>
      </w:r>
    </w:p>
    <w:p w14:paraId="08000000">
      <w:pPr>
        <w:pStyle w:val="Style_2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09000000">
      <w:pPr>
        <w:numPr>
          <w:numId w:val="1"/>
        </w:numPr>
        <w:spacing w:after="120" w:before="120" w:line="360" w:lineRule="auto"/>
        <w:ind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Федеральный закон от 25.12.2008 № 273-ФЗ «</w:t>
      </w:r>
      <w:r>
        <w:rPr>
          <w:rFonts w:ascii="Times New Roman" w:hAnsi="Times New Roman"/>
          <w:b w:val="0"/>
          <w:sz w:val="28"/>
        </w:rPr>
        <w:t>О противодействии коррупции»</w:t>
      </w:r>
    </w:p>
    <w:p w14:paraId="0A000000">
      <w:pPr>
        <w:numPr>
          <w:numId w:val="1"/>
        </w:numPr>
        <w:spacing w:after="120" w:before="120" w:line="360" w:lineRule="auto"/>
        <w:ind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Положение о порядке уведомления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работодателя о фактах обращения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целях склонения </w:t>
      </w:r>
      <w:r>
        <w:rPr>
          <w:rFonts w:ascii="Times New Roman" w:hAnsi="Times New Roman"/>
          <w:sz w:val="28"/>
        </w:rPr>
        <w:t xml:space="preserve">к совершению коррупционных правонарушений, </w:t>
      </w:r>
      <w:r>
        <w:rPr>
          <w:rFonts w:ascii="Times New Roman" w:hAnsi="Times New Roman"/>
          <w:sz w:val="28"/>
        </w:rPr>
        <w:t>утвержденное приказом БУ ВО «Электронный регион» от 13 февраля 2018 года № 9-О</w:t>
      </w:r>
    </w:p>
    <w:p w14:paraId="0B000000">
      <w:pPr>
        <w:spacing w:after="120" w:before="120"/>
        <w:ind w:right="12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Где ознакомиться с документами?</w:t>
      </w:r>
    </w:p>
    <w:p w14:paraId="0C000000">
      <w:pPr>
        <w:spacing w:after="120" w:before="120"/>
        <w:ind w:right="120"/>
        <w:jc w:val="center"/>
        <w:rPr>
          <w:rFonts w:ascii="Times New Roman" w:hAnsi="Times New Roman"/>
          <w:b w:val="1"/>
          <w:i w:val="1"/>
          <w:sz w:val="28"/>
        </w:rPr>
      </w:pPr>
    </w:p>
    <w:p w14:paraId="0D000000">
      <w:pPr>
        <w:spacing w:after="0" w:before="0" w:line="360" w:lineRule="auto"/>
        <w:ind w:firstLine="709" w:left="0" w:righ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0"/>
          <w:sz w:val="28"/>
        </w:rPr>
        <w:t>С Федеральным законом от 25.12.2008 № 273-ФЗ «</w:t>
      </w:r>
      <w:r>
        <w:rPr>
          <w:rFonts w:ascii="Times New Roman" w:hAnsi="Times New Roman"/>
          <w:b w:val="0"/>
          <w:sz w:val="28"/>
        </w:rPr>
        <w:t>О противодействии коррупции»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можно ознакомиться:</w:t>
      </w:r>
    </w:p>
    <w:p w14:paraId="0E000000">
      <w:pPr>
        <w:numPr>
          <w:numId w:val="2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официальном Интернет – портале правовой информации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"http://www.pravo.gov.ru"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www.pravo.gov.ru;</w:t>
      </w:r>
      <w:r>
        <w:rPr>
          <w:rFonts w:ascii="Times New Roman" w:hAnsi="Times New Roman"/>
          <w:sz w:val="28"/>
        </w:rPr>
        <w:fldChar w:fldCharType="end"/>
      </w:r>
    </w:p>
    <w:p w14:paraId="0F000000">
      <w:pPr>
        <w:numPr>
          <w:numId w:val="2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справочно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правовых системах ( «Консультант Плюс», «Гарант» и др.);</w:t>
      </w:r>
    </w:p>
    <w:p w14:paraId="10000000">
      <w:pPr>
        <w:numPr>
          <w:numId w:val="2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учреждения;</w:t>
      </w:r>
    </w:p>
    <w:p w14:paraId="11000000">
      <w:pPr>
        <w:numPr>
          <w:numId w:val="2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информационном стенде учреждения.</w:t>
      </w:r>
    </w:p>
    <w:p w14:paraId="12000000">
      <w:pPr>
        <w:pStyle w:val="Style_2"/>
        <w:spacing w:line="360" w:lineRule="auto"/>
        <w:ind w:firstLine="709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0"/>
          <w:sz w:val="28"/>
        </w:rPr>
        <w:t>С Положением о порядке уведомления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работодателя о фактах обращения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целях склонения </w:t>
      </w:r>
      <w:r>
        <w:rPr>
          <w:rFonts w:ascii="Times New Roman" w:hAnsi="Times New Roman"/>
          <w:sz w:val="28"/>
        </w:rPr>
        <w:t xml:space="preserve">к совершению коррупционных правонарушений </w:t>
      </w:r>
      <w:r>
        <w:rPr>
          <w:rFonts w:ascii="Times New Roman" w:hAnsi="Times New Roman"/>
          <w:b w:val="0"/>
          <w:i w:val="0"/>
          <w:sz w:val="28"/>
        </w:rPr>
        <w:t>можно ознакомиться:</w:t>
      </w:r>
    </w:p>
    <w:p w14:paraId="13000000">
      <w:pPr>
        <w:numPr>
          <w:numId w:val="3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учреждения;</w:t>
      </w:r>
    </w:p>
    <w:p w14:paraId="14000000">
      <w:pPr>
        <w:numPr>
          <w:numId w:val="3"/>
        </w:num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информационном стенде учреждения;</w:t>
      </w:r>
    </w:p>
    <w:p w14:paraId="15000000">
      <w:pPr>
        <w:numPr>
          <w:numId w:val="3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лица, ответственного за работу по профилактике коррупционных правонарушений в учреждении.</w:t>
      </w:r>
    </w:p>
    <w:p w14:paraId="16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line="36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Что регламентирует </w:t>
      </w:r>
      <w:r>
        <w:rPr>
          <w:rFonts w:ascii="Times New Roman" w:hAnsi="Times New Roman"/>
          <w:b w:val="1"/>
          <w:i w:val="1"/>
          <w:sz w:val="28"/>
        </w:rPr>
        <w:t>Положение о порядке уведомления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работодателя о фактах обращения </w:t>
      </w:r>
      <w:r>
        <w:rPr>
          <w:rFonts w:ascii="Times New Roman" w:hAnsi="Times New Roman"/>
          <w:b w:val="1"/>
          <w:i w:val="1"/>
          <w:sz w:val="28"/>
        </w:rPr>
        <w:t xml:space="preserve">в целях склонения </w:t>
      </w:r>
      <w:r>
        <w:rPr>
          <w:rFonts w:ascii="Times New Roman" w:hAnsi="Times New Roman"/>
          <w:b w:val="1"/>
          <w:i w:val="1"/>
          <w:sz w:val="28"/>
        </w:rPr>
        <w:t>к совершению коррупционных правонарушений?</w:t>
      </w:r>
    </w:p>
    <w:p w14:paraId="18000000">
      <w:pPr>
        <w:pStyle w:val="Style_2"/>
        <w:numPr>
          <w:numId w:val="4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сведений, подлежащих отражению в уведомлении, </w:t>
      </w:r>
    </w:p>
    <w:p w14:paraId="19000000">
      <w:pPr>
        <w:pStyle w:val="Style_2"/>
        <w:numPr>
          <w:numId w:val="4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уведомления работодателя,</w:t>
      </w:r>
    </w:p>
    <w:p w14:paraId="1A000000">
      <w:pPr>
        <w:pStyle w:val="Style_2"/>
        <w:numPr>
          <w:numId w:val="4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регистрации уведомлений,</w:t>
      </w:r>
    </w:p>
    <w:p w14:paraId="1B000000">
      <w:pPr>
        <w:pStyle w:val="Style_2"/>
        <w:numPr>
          <w:numId w:val="4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организации и проведения проверки сведений, содержащихся в уведомлении,</w:t>
      </w:r>
    </w:p>
    <w:p w14:paraId="1C000000">
      <w:pPr>
        <w:pStyle w:val="Style_2"/>
        <w:numPr>
          <w:numId w:val="4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форму уведомления. </w:t>
      </w:r>
    </w:p>
    <w:p w14:paraId="1D000000">
      <w:pPr>
        <w:pStyle w:val="Style_2"/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pStyle w:val="Style_2"/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Порядок действий работника учреждения в случае обращения к нему  каких-либо лиц в целях склонения к совершению коррупционных правонарушений </w:t>
      </w:r>
    </w:p>
    <w:p w14:paraId="1F000000">
      <w:pPr>
        <w:pStyle w:val="Style_2"/>
        <w:numPr>
          <w:numId w:val="5"/>
        </w:numPr>
        <w:spacing w:line="36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подготовить письменное уведомление, а в случае нахождения работника вне пределов места работы – уведомить работодателя любым доступным средством связи с последующим письменным уведомлением. Ф</w:t>
      </w:r>
      <w:r>
        <w:rPr>
          <w:rFonts w:ascii="Times New Roman" w:hAnsi="Times New Roman"/>
          <w:b w:val="0"/>
          <w:sz w:val="28"/>
        </w:rPr>
        <w:t>орма уведомления размещена на сайте учреждения;</w:t>
      </w:r>
    </w:p>
    <w:p w14:paraId="20000000">
      <w:pPr>
        <w:pStyle w:val="Style_2"/>
        <w:spacing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61595</wp:posOffset>
            </wp:positionH>
            <wp:positionV relativeFrom="paragraph">
              <wp:posOffset>62230</wp:posOffset>
            </wp:positionV>
            <wp:extent cx="1019175" cy="1008380"/>
            <wp:effectExtent b="0" l="0" r="0" t="0"/>
            <wp:wrapSquare distB="0" distL="114300" distR="11430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24784" r="23861" t="0"/>
                    <a:stretch/>
                  </pic:blipFill>
                  <pic:spPr>
                    <a:xfrm flipH="false" flipV="false" rot="0">
                      <a:ext cx="1019175" cy="10083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sz w:val="28"/>
        </w:rPr>
        <w:t>Чем подробнее в уведомлении изложены сведения о сущности</w:t>
      </w:r>
      <w:r>
        <w:rPr>
          <w:rFonts w:ascii="Times New Roman" w:hAnsi="Times New Roman"/>
          <w:b w:val="1"/>
          <w:sz w:val="28"/>
        </w:rPr>
        <w:t xml:space="preserve"> и иных обстоятельствах</w:t>
      </w:r>
      <w:r>
        <w:rPr>
          <w:rFonts w:ascii="Times New Roman" w:hAnsi="Times New Roman"/>
          <w:b w:val="1"/>
          <w:sz w:val="28"/>
        </w:rPr>
        <w:t xml:space="preserve"> предполагаемого правонарушения</w:t>
      </w:r>
      <w:r>
        <w:rPr>
          <w:rFonts w:ascii="Times New Roman" w:hAnsi="Times New Roman"/>
          <w:b w:val="1"/>
          <w:sz w:val="28"/>
        </w:rPr>
        <w:t>,</w:t>
      </w:r>
      <w:r>
        <w:rPr>
          <w:rFonts w:ascii="Times New Roman" w:hAnsi="Times New Roman"/>
          <w:b w:val="1"/>
          <w:sz w:val="28"/>
        </w:rPr>
        <w:t xml:space="preserve"> тем выше вероятность привлечения </w:t>
      </w:r>
      <w:r>
        <w:rPr>
          <w:rFonts w:ascii="Times New Roman" w:hAnsi="Times New Roman"/>
          <w:b w:val="1"/>
          <w:sz w:val="28"/>
        </w:rPr>
        <w:t xml:space="preserve">к ответственности лица, </w:t>
      </w:r>
      <w:r>
        <w:rPr>
          <w:rFonts w:ascii="Times New Roman" w:hAnsi="Times New Roman"/>
          <w:b w:val="1"/>
          <w:sz w:val="28"/>
        </w:rPr>
        <w:t>обратившегося к работнику учреждения</w:t>
      </w:r>
      <w:r>
        <w:rPr>
          <w:rFonts w:ascii="Times New Roman" w:hAnsi="Times New Roman"/>
          <w:b w:val="1"/>
          <w:sz w:val="28"/>
        </w:rPr>
        <w:t xml:space="preserve"> в целях склонения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его </w:t>
      </w:r>
      <w:r>
        <w:rPr>
          <w:rFonts w:ascii="Times New Roman" w:hAnsi="Times New Roman"/>
          <w:b w:val="1"/>
          <w:sz w:val="28"/>
        </w:rPr>
        <w:t>к коррупционному правонарушению.</w:t>
      </w:r>
    </w:p>
    <w:p w14:paraId="21000000">
      <w:pPr>
        <w:pStyle w:val="Style_2"/>
        <w:numPr>
          <w:numId w:val="5"/>
        </w:numPr>
        <w:spacing w:line="36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передать уведомление работодателю и прилагаемые к нему материалы, подтверждающие обстоятельства обращения в целях склонения работника к совершению коррупционных правонарушений,</w:t>
      </w:r>
      <w:r>
        <w:rPr>
          <w:rFonts w:ascii="Times New Roman" w:hAnsi="Times New Roman"/>
          <w:b w:val="1"/>
          <w:i w:val="1"/>
          <w:sz w:val="28"/>
        </w:rPr>
        <w:t xml:space="preserve"> в срок </w:t>
      </w:r>
      <w:r>
        <w:rPr>
          <w:rFonts w:ascii="Times New Roman" w:hAnsi="Times New Roman"/>
          <w:b w:val="1"/>
          <w:i w:val="1"/>
          <w:sz w:val="28"/>
        </w:rPr>
        <w:t>не позднее одного рабочего дня, следующего за днем обращения</w:t>
      </w:r>
      <w:r>
        <w:rPr>
          <w:rFonts w:ascii="Times New Roman" w:hAnsi="Times New Roman"/>
          <w:b w:val="0"/>
          <w:sz w:val="28"/>
        </w:rPr>
        <w:t>;</w:t>
      </w:r>
    </w:p>
    <w:p w14:paraId="22000000">
      <w:pPr>
        <w:pStyle w:val="Style_2"/>
        <w:numPr>
          <w:numId w:val="5"/>
        </w:numPr>
        <w:spacing w:line="36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получить у лица, ответственного за работу по профилактике коррупционных правонарушений в учреждении, копию уведомления с номером, датой и подписью принявшего уведомление лица;</w:t>
      </w:r>
    </w:p>
    <w:p w14:paraId="23000000">
      <w:pPr>
        <w:pStyle w:val="Style_2"/>
        <w:numPr>
          <w:numId w:val="5"/>
        </w:numPr>
        <w:spacing w:line="36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уведомить органы прокуратуры о фактах обращения в целях склонения к совершению коррупционных правонарушений;</w:t>
      </w:r>
    </w:p>
    <w:p w14:paraId="24000000">
      <w:pPr>
        <w:pStyle w:val="Style_2"/>
        <w:numPr>
          <w:numId w:val="5"/>
        </w:numPr>
        <w:spacing w:line="36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дождаться письменного уведомления о принятом работодателем решении.</w:t>
      </w:r>
    </w:p>
    <w:sectPr>
      <w:headerReference r:id="rId1" w:type="default"/>
      <w:pgSz w:h="16848" w:orient="portrait" w:w="11908"/>
      <w:pgMar w:bottom="850" w:footer="709" w:gutter="0" w:header="709" w:left="1134" w:right="567" w:top="85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"/>
      <w:pPr>
        <w:ind w:hanging="360" w:left="720"/>
      </w:pPr>
      <w:rPr>
        <w:rFonts w:ascii="Wingdings" w:hAnsi="Wingdings"/>
      </w:rPr>
    </w:lvl>
    <w:lvl w:ilvl="1">
      <w:numFmt w:val="bullet"/>
      <w:lvlText w:val=""/>
      <w:pPr>
        <w:ind w:hanging="360" w:left="1440"/>
      </w:pPr>
      <w:rPr>
        <w:rFonts w:ascii="Wingdings" w:hAnsi="Wingdings"/>
      </w:rPr>
    </w:lvl>
    <w:lvl w:ilvl="2">
      <w:numFmt w:val="bullet"/>
      <w:lvlText w:val=""/>
      <w:pPr>
        <w:ind w:hanging="360" w:left="2160"/>
      </w:pPr>
      <w:rPr>
        <w:rFonts w:ascii="Wingdings" w:hAnsi="Wingdings"/>
      </w:rPr>
    </w:lvl>
    <w:lvl w:ilvl="3">
      <w:numFmt w:val="bullet"/>
      <w:lvlText w:val=""/>
      <w:pPr>
        <w:ind w:hanging="360" w:left="2880"/>
      </w:pPr>
      <w:rPr>
        <w:rFonts w:ascii="Wingdings" w:hAnsi="Wingdings"/>
      </w:rPr>
    </w:lvl>
    <w:lvl w:ilvl="4">
      <w:numFmt w:val="bullet"/>
      <w:lvlText w:val=""/>
      <w:pPr>
        <w:ind w:hanging="360" w:left="3600"/>
      </w:pPr>
      <w:rPr>
        <w:rFonts w:ascii="Wingdings" w:hAnsi="Wingdings"/>
      </w:rPr>
    </w:lvl>
    <w:lvl w:ilvl="5">
      <w:numFmt w:val="bullet"/>
      <w:lvlText w:val=""/>
      <w:pPr>
        <w:ind w:hanging="360" w:left="4320"/>
      </w:pPr>
      <w:rPr>
        <w:rFonts w:ascii="Wingdings" w:hAnsi="Wingdings"/>
      </w:rPr>
    </w:lvl>
    <w:lvl w:ilvl="6">
      <w:numFmt w:val="bullet"/>
      <w:lvlText w:val=""/>
      <w:pPr>
        <w:ind w:hanging="360" w:left="5040"/>
      </w:pPr>
      <w:rPr>
        <w:rFonts w:ascii="Wingdings" w:hAnsi="Wingdings"/>
      </w:rPr>
    </w:lvl>
    <w:lvl w:ilvl="7">
      <w:numFmt w:val="bullet"/>
      <w:lvlText w:val=""/>
      <w:pPr>
        <w:ind w:hanging="360" w:left="5760"/>
      </w:pPr>
      <w:rPr>
        <w:rFonts w:ascii="Wingdings" w:hAnsi="Wingdings"/>
      </w:rPr>
    </w:lvl>
    <w:lvl w:ilvl="8">
      <w:numFmt w:val="bullet"/>
      <w:lvlText w:val="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"/>
      <w:pPr>
        <w:ind w:hanging="360" w:left="720"/>
      </w:pPr>
      <w:rPr>
        <w:rFonts w:ascii="Wingdings" w:hAnsi="Wingdings"/>
      </w:rPr>
    </w:lvl>
    <w:lvl w:ilvl="1">
      <w:numFmt w:val="bullet"/>
      <w:lvlText w:val=""/>
      <w:pPr>
        <w:ind w:hanging="360" w:left="1440"/>
      </w:pPr>
      <w:rPr>
        <w:rFonts w:ascii="Wingdings" w:hAnsi="Wingdings"/>
      </w:rPr>
    </w:lvl>
    <w:lvl w:ilvl="2">
      <w:numFmt w:val="bullet"/>
      <w:lvlText w:val=""/>
      <w:pPr>
        <w:ind w:hanging="360" w:left="2160"/>
      </w:pPr>
      <w:rPr>
        <w:rFonts w:ascii="Wingdings" w:hAnsi="Wingdings"/>
      </w:rPr>
    </w:lvl>
    <w:lvl w:ilvl="3">
      <w:numFmt w:val="bullet"/>
      <w:lvlText w:val=""/>
      <w:pPr>
        <w:ind w:hanging="360" w:left="2880"/>
      </w:pPr>
      <w:rPr>
        <w:rFonts w:ascii="Wingdings" w:hAnsi="Wingdings"/>
      </w:rPr>
    </w:lvl>
    <w:lvl w:ilvl="4">
      <w:numFmt w:val="bullet"/>
      <w:lvlText w:val=""/>
      <w:pPr>
        <w:ind w:hanging="360" w:left="3600"/>
      </w:pPr>
      <w:rPr>
        <w:rFonts w:ascii="Wingdings" w:hAnsi="Wingdings"/>
      </w:rPr>
    </w:lvl>
    <w:lvl w:ilvl="5">
      <w:numFmt w:val="bullet"/>
      <w:lvlText w:val=""/>
      <w:pPr>
        <w:ind w:hanging="360" w:left="4320"/>
      </w:pPr>
      <w:rPr>
        <w:rFonts w:ascii="Wingdings" w:hAnsi="Wingdings"/>
      </w:rPr>
    </w:lvl>
    <w:lvl w:ilvl="6">
      <w:numFmt w:val="bullet"/>
      <w:lvlText w:val=""/>
      <w:pPr>
        <w:ind w:hanging="360" w:left="5040"/>
      </w:pPr>
      <w:rPr>
        <w:rFonts w:ascii="Wingdings" w:hAnsi="Wingdings"/>
      </w:rPr>
    </w:lvl>
    <w:lvl w:ilvl="7">
      <w:numFmt w:val="bullet"/>
      <w:lvlText w:val=""/>
      <w:pPr>
        <w:ind w:hanging="360" w:left="5760"/>
      </w:pPr>
      <w:rPr>
        <w:rFonts w:ascii="Wingdings" w:hAnsi="Wingdings"/>
      </w:rPr>
    </w:lvl>
    <w:lvl w:ilvl="8">
      <w:numFmt w:val="bullet"/>
      <w:lvlText w:val="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"/>
      <w:pPr>
        <w:ind w:hanging="360" w:left="720"/>
      </w:pPr>
      <w:rPr>
        <w:rFonts w:ascii="Wingdings" w:hAnsi="Wingdings"/>
      </w:rPr>
    </w:lvl>
    <w:lvl w:ilvl="1">
      <w:numFmt w:val="bullet"/>
      <w:lvlText w:val=""/>
      <w:pPr>
        <w:ind w:hanging="360" w:left="1440"/>
      </w:pPr>
      <w:rPr>
        <w:rFonts w:ascii="Wingdings" w:hAnsi="Wingdings"/>
      </w:rPr>
    </w:lvl>
    <w:lvl w:ilvl="2">
      <w:numFmt w:val="bullet"/>
      <w:lvlText w:val=""/>
      <w:pPr>
        <w:ind w:hanging="360" w:left="2160"/>
      </w:pPr>
      <w:rPr>
        <w:rFonts w:ascii="Wingdings" w:hAnsi="Wingdings"/>
      </w:rPr>
    </w:lvl>
    <w:lvl w:ilvl="3">
      <w:numFmt w:val="bullet"/>
      <w:lvlText w:val=""/>
      <w:pPr>
        <w:ind w:hanging="360" w:left="2880"/>
      </w:pPr>
      <w:rPr>
        <w:rFonts w:ascii="Wingdings" w:hAnsi="Wingdings"/>
      </w:rPr>
    </w:lvl>
    <w:lvl w:ilvl="4">
      <w:numFmt w:val="bullet"/>
      <w:lvlText w:val=""/>
      <w:pPr>
        <w:ind w:hanging="360" w:left="3600"/>
      </w:pPr>
      <w:rPr>
        <w:rFonts w:ascii="Wingdings" w:hAnsi="Wingdings"/>
      </w:rPr>
    </w:lvl>
    <w:lvl w:ilvl="5">
      <w:numFmt w:val="bullet"/>
      <w:lvlText w:val=""/>
      <w:pPr>
        <w:ind w:hanging="360" w:left="4320"/>
      </w:pPr>
      <w:rPr>
        <w:rFonts w:ascii="Wingdings" w:hAnsi="Wingdings"/>
      </w:rPr>
    </w:lvl>
    <w:lvl w:ilvl="6">
      <w:numFmt w:val="bullet"/>
      <w:lvlText w:val=""/>
      <w:pPr>
        <w:ind w:hanging="360" w:left="5040"/>
      </w:pPr>
      <w:rPr>
        <w:rFonts w:ascii="Wingdings" w:hAnsi="Wingdings"/>
      </w:rPr>
    </w:lvl>
    <w:lvl w:ilvl="7">
      <w:numFmt w:val="bullet"/>
      <w:lvlText w:val=""/>
      <w:pPr>
        <w:ind w:hanging="360" w:left="5760"/>
      </w:pPr>
      <w:rPr>
        <w:rFonts w:ascii="Wingdings" w:hAnsi="Wingdings"/>
      </w:rPr>
    </w:lvl>
    <w:lvl w:ilvl="8">
      <w:numFmt w:val="bullet"/>
      <w:lvlText w:val="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"/>
      <w:pPr>
        <w:ind w:hanging="360" w:left="720"/>
      </w:pPr>
      <w:rPr>
        <w:rFonts w:ascii="Wingdings" w:hAnsi="Wingdings"/>
      </w:rPr>
    </w:lvl>
    <w:lvl w:ilvl="1">
      <w:numFmt w:val="bullet"/>
      <w:lvlText w:val=""/>
      <w:pPr>
        <w:ind w:hanging="360" w:left="1440"/>
      </w:pPr>
      <w:rPr>
        <w:rFonts w:ascii="Wingdings" w:hAnsi="Wingdings"/>
      </w:rPr>
    </w:lvl>
    <w:lvl w:ilvl="2">
      <w:numFmt w:val="bullet"/>
      <w:lvlText w:val=""/>
      <w:pPr>
        <w:ind w:hanging="360" w:left="2160"/>
      </w:pPr>
      <w:rPr>
        <w:rFonts w:ascii="Wingdings" w:hAnsi="Wingdings"/>
      </w:rPr>
    </w:lvl>
    <w:lvl w:ilvl="3">
      <w:numFmt w:val="bullet"/>
      <w:lvlText w:val=""/>
      <w:pPr>
        <w:ind w:hanging="360" w:left="2880"/>
      </w:pPr>
      <w:rPr>
        <w:rFonts w:ascii="Wingdings" w:hAnsi="Wingdings"/>
      </w:rPr>
    </w:lvl>
    <w:lvl w:ilvl="4">
      <w:numFmt w:val="bullet"/>
      <w:lvlText w:val=""/>
      <w:pPr>
        <w:ind w:hanging="360" w:left="3600"/>
      </w:pPr>
      <w:rPr>
        <w:rFonts w:ascii="Wingdings" w:hAnsi="Wingdings"/>
      </w:rPr>
    </w:lvl>
    <w:lvl w:ilvl="5">
      <w:numFmt w:val="bullet"/>
      <w:lvlText w:val=""/>
      <w:pPr>
        <w:ind w:hanging="360" w:left="4320"/>
      </w:pPr>
      <w:rPr>
        <w:rFonts w:ascii="Wingdings" w:hAnsi="Wingdings"/>
      </w:rPr>
    </w:lvl>
    <w:lvl w:ilvl="6">
      <w:numFmt w:val="bullet"/>
      <w:lvlText w:val=""/>
      <w:pPr>
        <w:ind w:hanging="360" w:left="5040"/>
      </w:pPr>
      <w:rPr>
        <w:rFonts w:ascii="Wingdings" w:hAnsi="Wingdings"/>
      </w:rPr>
    </w:lvl>
    <w:lvl w:ilvl="7">
      <w:numFmt w:val="bullet"/>
      <w:lvlText w:val=""/>
      <w:pPr>
        <w:ind w:hanging="360" w:left="5760"/>
      </w:pPr>
      <w:rPr>
        <w:rFonts w:ascii="Wingdings" w:hAnsi="Wingdings"/>
      </w:rPr>
    </w:lvl>
    <w:lvl w:ilvl="8">
      <w:numFmt w:val="bullet"/>
      <w:lvlText w:val="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Normal (Web)"/>
    <w:basedOn w:val="Style_3"/>
    <w:link w:val="Style_10_ch"/>
    <w:pPr>
      <w:spacing w:afterAutospacing="on" w:beforeAutospacing="on"/>
      <w:ind/>
    </w:pPr>
  </w:style>
  <w:style w:styleId="Style_10_ch" w:type="character">
    <w:name w:val="Normal (Web)"/>
    <w:basedOn w:val="Style_3_ch"/>
    <w:link w:val="Style_10"/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footer"/>
    <w:basedOn w:val="Style_3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3_ch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7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2023-05-26T08:03:19Z</dcterms:modified>
</cp:coreProperties>
</file>